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116</w:t>
      </w:r>
    </w:p>
    <w:p>
      <w:r>
        <w:t>Bundesgericht (BGE), 2000-04-17, DE</w:t>
      </w:r>
    </w:p>
    <w:p>
      <w:r>
        <w:rPr>
          <w:b/>
        </w:rPr>
        <w:t xml:space="preserve">Quelle: </w:t>
      </w:r>
      <w:r>
        <w:t>https://mcp.opencaselaw.ch/entscheid/bge_126 V 116</w:t>
      </w:r>
    </w:p>
    <w:p>
      <w:r>
        <w:t>FR: ATF 126 V 116</w:t>
      </w:r>
    </w:p>
    <w:p>
      <w:r>
        <w:t>IT: DTF 126 V 116</w:t>
      </w:r>
    </w:p>
    <w:p>
      <w:pPr>
        <w:pStyle w:val="Heading2"/>
      </w:pPr>
      <w:r>
        <w:t>Regeste</w:t>
      </w:r>
    </w:p>
    <w:p>
      <w:r>
        <w:t>Regeste Art. 18 und 36 Abs. 2 UVG: Bestätigung der Rechtsprechung, wonach die Anwendung von Art. 36 Abs. 2 UVG das Vorliegen adäquat kausaler Unfallfolgen voraussetzt. Es geht nicht an, das Ergebnis der Adäquanzbeurteilung nachträglich dadurch zu umgehen, dass die somatischen und psychischen Störungen im Rahmen von Art. 36 Abs. 2 UVG als einheitliche Gesundheitsschädigung aufgefasst werden. Obwohl sie in einem inneren Zusammenhang stehen können, stellen sie selbstständige Gesundheitsschädigungen dar.</w:t>
      </w:r>
    </w:p>
    <w:p>
      <w:pPr>
        <w:pStyle w:val="Heading2"/>
      </w:pPr>
      <w:r>
        <w:t>Erwägungen</w:t>
      </w:r>
    </w:p>
    <w:p>
      <w:r>
        <w:rPr>
          <w:b/>
        </w:rPr>
        <w:t>E. 3</w:t>
      </w:r>
    </w:p>
    <w:p>
      <w:r>
        <w:t>a) Nach Art. 36 Abs. 2 UVG werden die Invalidenrenten, Integritätsentschädigungen und die Hinterlassenenrenten angemessen gekürzt, wenn die Gesundheitsschädigung oder der Tod nur BGE 126 V 116 S. 117 teilweise die Folge eines Unfalles ist (Satz 1). Gesundheitsschädigungen vor dem Unfall, die zu keiner Verminderung der Erwerbsfähigkeit geführt haben, werden dabei nicht berücksichtigt (Satz 2).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um zu vermeiden, dass der Versicherte sich für den gleichen Unfall an mehrere Versicherungsträger wenden muss. Dabei kann es sich um somatische oder psychische Vorzustände handeln ( BGE 121 V 331 Erw. 3a mit Hinweisen). 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 b) Wie das Eidg. Versicherungsgericht in BGE 115 V 413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 Versicherungsgericht in BGE 121 V 326 nicht abgerückt. Die Feststellung, wonach Art. 36 Abs. 2 UVG immer dann zur Anwendung gelangt, wenn der Unfall und das nicht BGE 126 V 116 S. 118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 Versicherungsgericht auch in BGE 121 V 326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beurteilten Fall - zu bejahen, könne darauf nicht bei der Anwendung der Kürzungsbestimmung des Art. 36 Abs. 2 UVG , welche das Bestehen eines adäquaten Kausalzusammenhangs voraussetze, zurückgekommen werden ( BGE 121 V 333 f. Erw. 3c). In BGE 123 V 103 Erw. 3c hat das Gericht erneut festgestellt, dass die Leistungskürzung nach Art. 36 Abs. 2 UVG das Bestehen eines adäquaten Kausalzusammenhangs voraussetze. c) Die Vorinstanz stellt sich auf den Standpunkt, im vorliegenden Fall könnten die beiden Gesundheitsschädigungen, nämlich die somatische und die psychische, nicht auseinander gehalten werden, sodass eine "einheitliche Gesundheitsstörung" anzunehmen sei und der Unfallversicherer nach Art. 36 Abs. 2 Satz 2 UVG mangels eines die Erwerbsfähigkeit beeinträchtigenden Vorzustandes ungekürzte Leistungen zu erbringen habe. Dieser Auffassung kann nicht beigepflichtet werden. Die bestehenden somatischen Befunde (chronisches Zervikalsyndrom und chronische Periarthropathia humeroscapularis) und die psychischen Störungen (depressive Entwicklung mit ausgeprägter Somatisierung und Symptomausweitung) stehen zwar in einem innern Zusammenhang, stellen jedoch selbstständige Gesundheitsschädigungen dar. Sie sind im Rahmen der BGE 126 V 116 S. 119 Adäquanzprüfung getrennt zu betrachten, zumal für die Adäquanz psychischer Unfallfolgen besondere Regeln gelten. Die Vorinstanz hat für die somatischen und die psychischen Befunde denn auch separate Adäquanzbeurteilungen vorgenommen. Nach dem Gesagten geht es aber nicht an, das Ergebnis der Adäquanzbeurteilung nachträglich dadurch zu umgehen, dass die somatischen und psychischen Störungen im Rahmen von Art. 36 Abs. 2 UVG als einheitliche Gesundheitsschädigung aufgefasst werden. Würde der Auffassung der Vorinstanz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